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C" w:rsidRPr="000F182C" w:rsidRDefault="000F182C" w:rsidP="000F182C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0F1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I regimi narrativi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Il rapporto tra personaggi, esistenti e ambienti definisce anche il tipo di regime narrativo proprio di un film. Nella storia del cinema si può osservare la ricorrenza di tre grandi regimi narrativi.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narrazione forte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attenzione è posta su situazioni ben disegnate e concatenate tra loro. Centrale è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azione, sia intesa come forma di risposta di un personaggio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ambiente, sia come tentativo di modificare le cose da parte del personaggio stesso.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 è perfettamente leggibile e organico, esso circoscrive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azione, aiuta a definirla e la stimola di continuo. I personaggi sono tratteggiati in modo chiaro nelle intenzioni, negli scopi, nei desideri. Essi esprimono valori certi secondo schemi duali: polizia/criminali, bianchi/neri ecc. La narrazione forte è espressa al meglio dal cinema classico americano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Il regime della narrazione debole presenta situazioni narrative sbilanciate. Le situazioni si concatenano in modo provvisorio e non soddisfacente.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ambiente non è più inglobante ma pervasivo, esso non aiuta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 nel suo definirsi, ma ne occupa il posto facendo quasi da intralcio. I valori messi in campo sono poco determinabili. Tra buono e cattivo, poliziotto e criminale la differenza si fa sempre più sfumata. In questo quadro la grande azione eroica e morale perde plausibilità. I dubbi e le paure che paralizzano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eroe non sono più semplici intoppi transitori ma modalità costitutive del suo comportamento. La narrazione debole è una forma di rivisitazione critica della narrazione forte, ed è tipica di alcuni generi come il melodramma passionale, di alcuni noir, del dramma psicologico in cui personaggi e ambienti rimangono in primo piano ma la situazione appare enigmatica nella sua definizione concreta.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Il regime della anti-narrazione porta alle estreme conseguenze la crisi delle premesse alla base del modello forte.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 perde ogni ruolo rilevante. La situazione narrativa è frammentata e dispersa. I personaggi non hanno più definizione. Si aggirano sulla scena del film senza uno scopo preciso. Il legame tra i vari personaggi non è in alcun modo definito. Diventa difficile rintracciare il filo che lega tra loro gli eventi. Le relaziono causali e logiche sono sostituite da giustapposizioni casuali, da tempi morti.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del personaggio non ha più una precisa motivazione psicologica e si caratterizza spesso come forma di inazione. Questo tipo di regime anti-narrativo è tipico di certo cinema moderno. Si pensi a come, in alcuni film di Scorsese, di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Rohmer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 Godard,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azione efficace e determinata lascia il posto alla passeggiata, alla pausa descrittiva,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di elementi apparentemente sconnessi, alla chiacchierata intorno a particolari marginali.</w:t>
      </w:r>
    </w:p>
    <w:p w:rsidR="000F182C" w:rsidRPr="009379B3" w:rsidRDefault="000F182C" w:rsidP="000F18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379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Fabula e intreccio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La distinzione tra fabula</w:t>
      </w:r>
      <w:r w:rsidRPr="00F536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 intreccio, che è stata ampiamente ripresa e articolata dagli studi di narratologia, viene elaborata, negli anni Venti, nel quadro delle teorie del formalismo russo.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termine fabula si indica quella che viene oggi comunemente definita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trama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57494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la fabula è dunque la concatenazione/successione degli eventi, nel loro ordine logico-cronologico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. Detto in altri termini, la fabula coincide con il materiale narrativo nel suo complesso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effetti, alcuni autori (ad esempio Seymour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Chatman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Storia e discorso. La struttura narrativa nel romanzo e nel film 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[1978], Milano, Il Saggiatore, 2003) impiegheranno proprio il termine </w:t>
      </w:r>
      <w:r w:rsidRPr="0057494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storia” per designare la fabula (in combinazione con quello di discorso”, ad indicare l’intreccio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Altri, come </w:t>
      </w:r>
      <w:r w:rsidRPr="00574940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Gérard Genette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Figure III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 [1972], Torino, Einaudi, 1976</w:t>
      </w:r>
      <w:r w:rsidRPr="00574940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), parleranno di “storia” (“il significato o </w:t>
      </w:r>
      <w:r w:rsidRPr="00574940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lastRenderedPageBreak/>
        <w:t>contenuto narrativo”) e di racconto” (“il significante, enunciato, discorso o testo narrativo stesso”;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Genette, 1976, p. 75).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94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 l’espressione intreccio, invece, ci spostiamo dal piano del “che cosa” viene raccontato al “come” questo materiale viene raccontato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: vogliamo indicare, cioè, la composizione stilistica del narrato, la sua organizzazione, il complesso di procedimenti e strategie attraverso i quali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autore ci presenta le diverse componenti della narrazione. Ma non solo: se è vero che la fabula corrisponde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esatta successione cronologica degli eventi,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quest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può non essere rispettato, e gli eventi possono essere presentati in un ordine diverso da quello logico-causale.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 singoli testi, quindi, possono essere caratterizzati da una sostanziale coincidenza tra ordine della fabula e ordine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(gli eventi vengono narrati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logico-cronologico in cui accadono), così come da una massima divergenza: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con cui gli eventi vengono narrati differisce significativamente dal loro succedersi cronologico: un film contemporaneo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</w:t>
      </w:r>
      <w:r w:rsidRPr="00B521A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Memento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(C.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Nolan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2000), ad esempio, racconta gli eventi invertendone completamente la cronologia,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dall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ultimo al primo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dalla fine all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inizio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si è visto a proposito dei grandi regimi narrativi, il cinema moderno dimostra una sostanziale diffidenza nei confronti dei vincoli imposti dalla fabula e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intreccio: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Chatman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contrappone, ad esempio,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intreccio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 carattere risolutorio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tipico della narrativa classica (la successione degli eventi conduce verso un unico punto, che coincide con la risoluzione di tutti gli snodi narrativi)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intreccio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di rivelazione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tipico della modernità (l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antistoria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: non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é nulla che accade, non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é sviluppo narrativo, e quindi non può esserci uno scioglimento, ma al limite solo una situazione che viene rivelata, o più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conclusioni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tutte ugualmente possibili).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 questo proposito, il cinema contemporaneo (o postmoderno) sembra proporre qualcosa di ancora diverso e del tutto inedito: ed è per questo che, in relazione ad un film come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Pulp Fiction</w:t>
      </w:r>
      <w:r w:rsidR="001C26D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(Q. Tarantino, 1994), Gianni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Canova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ipotizzato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esistenza di un quarto regime narrativo, quello della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metanarrazione</w:t>
      </w:r>
      <w:proofErr w:type="spellEnd"/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hyperlink r:id="rId4" w:history="1">
        <w:r w:rsidRPr="00F536B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Fabula e intreccio in Pulp Fiction (Q. Tarantino, 1994)</w:t>
        </w:r>
      </w:hyperlink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0F182C" w:rsidRPr="009379B3" w:rsidRDefault="000F182C" w:rsidP="000F18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379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Fabula e intreccio in Pulp Fiction (Q. Tarantino, 1994)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9B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Da Gianni </w:t>
      </w:r>
      <w:proofErr w:type="spellStart"/>
      <w:r w:rsidRPr="009379B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Canova</w:t>
      </w:r>
      <w:proofErr w:type="spellEnd"/>
      <w:r w:rsidRPr="009379B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 </w:t>
      </w:r>
      <w:r w:rsidRPr="009379B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’</w:t>
      </w:r>
      <w:r w:rsidRPr="009379B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alieno e il pipistrello. La crisi della forma nel cinema contemporaneo</w:t>
      </w:r>
      <w:r w:rsidRPr="009379B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 Milano, Bompiani, 2000.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di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Pulp Fiction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da sei macrosequenze narrative che possiamo così sintetizzare:</w:t>
      </w:r>
    </w:p>
    <w:p w:rsidR="000F182C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Zucch</w:t>
      </w: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ino e Pasticcino progettano una rapina al fast-food.</w:t>
      </w:r>
    </w:p>
    <w:p w:rsidR="000F182C" w:rsidRPr="009379B3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2. Vincent e Jules si recano in un edificio per recuperare una valigetta dal contenuto misterioso.</w:t>
      </w: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Mentre il pugile </w:t>
      </w:r>
      <w:proofErr w:type="spellStart"/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Butch</w:t>
      </w:r>
      <w:proofErr w:type="spellEnd"/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boss </w:t>
      </w:r>
      <w:proofErr w:type="spellStart"/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Marsellus</w:t>
      </w:r>
      <w:proofErr w:type="spellEnd"/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accordano per un incontro truccato, arriva Vincent a cui il boss dà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9379B3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incarico di portare fuori a cena sua moglie Mia.</w:t>
      </w:r>
    </w:p>
    <w:p w:rsidR="000F182C" w:rsidRPr="009379B3" w:rsidRDefault="000F182C" w:rsidP="000F182C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9379B3">
        <w:rPr>
          <w:rFonts w:ascii="Times New Roman" w:hAnsi="Times New Roman" w:cs="Times New Roman"/>
          <w:sz w:val="24"/>
          <w:szCs w:val="24"/>
          <w:lang w:eastAsia="it-IT"/>
        </w:rPr>
        <w:t xml:space="preserve">3b) La serata di Vincent e Mia. </w:t>
      </w:r>
    </w:p>
    <w:p w:rsidR="000F182C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La storia di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Butch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(che tradisce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accordo con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Marsellus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torna a casa per recuperare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orologio del padre, uccide Vincent e poi salva la vita a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Marsellus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F182C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5. Mentre in auto stanno andando a restituire al boss la valigetta recuperata, Vincent e Jules uccidono accidentalmente un uomo e chiedono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aiuto di Mr.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Wolf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ripulire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auto dal sangue e tirarsi fuori dai guai.</w:t>
      </w:r>
    </w:p>
    <w:p w:rsidR="000F182C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6. Vincent e Jules vanno a fare colazione al fast-food dove Zuccherino e Pasticcino stanno per compiere la loro rapina.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Rimettendo ordine negli avvenimenti e ricollocandoli nella loro esatta consequenzialità logica e cronologica [si ricostruisce] la fabula [che] inizia con la missione di Vincent e Jules, e termina, dopo la morte di Vincent, con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riappacificazione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Butch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Marsellus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È interessante notare che la struttura circolare è solo un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trucco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[…], mentre in realtà gli episodi sono disposti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uno accanto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in base a un rigoroso ordine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simmetrico-speculare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cui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episodio 1 si conclude nel 6, il 2 nel 5 e il 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/b nel 4. Come ha notato giustamente Luca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Aimeri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la vera trovata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sta nel fatto che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episodio 1 non è che un frammento della sequenza 6 estrapolato e ingigantito [cfr. L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Aimeri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Answers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First/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Question-Later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Formula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in AAVV,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Quentin Tarantino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Garage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Torino,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Scriptorium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Editore, 1996]. Tarantino getta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inizio del film un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seme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solo alla fine darà i suoi frutti,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conferendo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opera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conclude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Aimeri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aura di destrutturazione, o quantomeno di rompicapo: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é il trucco, ma non si vede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. Dove invece il trucco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 vede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nel trattamento diegetico del personaggio di Vincent Vega: che, come si è visto, muore per mano di 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Butch</w:t>
      </w:r>
      <w:proofErr w:type="spellEnd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episodio 4 e poi riappare […] come se nulla fosse negli episodi 5 e 6. […]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Quel che è certo è che le disarticolazioni o le distorsioni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intreccio esibite da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Pulp Fiction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così come 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esche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macguffin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(la misteriosa valigetta di cui non si saprà mail il contenuto) disseminati qua e là nelle anse del racconto, non hanno più nulla a che vedere con il ruolo che simili espedienti svolgevano nel cinema classico o nel cinema moderno: là erano funzionali a produrre, sollecitare e rafforzare il coinvolgimento dello spettatore, qui servono a confonderlo, depistarlo, disorientarlo. […]</w:t>
      </w:r>
    </w:p>
    <w:p w:rsidR="000F182C" w:rsidRPr="00F536BF" w:rsidRDefault="000F182C" w:rsidP="000F1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Diventa allora legittimo, forse, assumere </w:t>
      </w:r>
      <w:r w:rsidRPr="00F536B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Pulp Fiction 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prototipo di un quarto, possibile regime di racconto […]: quel modello che – praticando in modo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trasversale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tre precedenti regimi – mette in scena soprattutto il proprio raccontare, manifestando le proprie opzioni e scelte diegetiche e mostrando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 la propria testualità in quanto tale. Un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testo metanarrativo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>, dunque: che fa di sé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F53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specifico e il terreno elettivo del proprio comunicare, e lo fa praticando continue interferenze e contaminazioni con i modelli precedenti. </w:t>
      </w:r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La </w:t>
      </w:r>
      <w:proofErr w:type="spellStart"/>
      <w:r w:rsidRPr="00B521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metanarratività</w:t>
      </w:r>
      <w:proofErr w:type="spellEnd"/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di </w:t>
      </w:r>
      <w:r w:rsidRPr="00B521A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Pulp Fiction </w:t>
      </w:r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non si configura però come una nuova forma narrativa compiuta, risolta e </w:t>
      </w:r>
      <w:proofErr w:type="spellStart"/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modellizzabile</w:t>
      </w:r>
      <w:proofErr w:type="spellEnd"/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: in quanto fondata sull’interferenza tra modelli diversi o forse addirittura sul saccheggio di materiali eterogenei, si dà come </w:t>
      </w:r>
      <w:r w:rsidRPr="00B521A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forma ibrida</w:t>
      </w:r>
      <w:r w:rsidRPr="00B521A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 cioè come luogo di una fuoriuscita dal canone e come punto di crisi delle forme narrative precedenti.</w:t>
      </w:r>
    </w:p>
    <w:p w:rsidR="009D58F9" w:rsidRDefault="009D58F9"/>
    <w:sectPr w:rsidR="009D58F9" w:rsidSect="009D5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182C"/>
    <w:rsid w:val="000F182C"/>
    <w:rsid w:val="001C26D2"/>
    <w:rsid w:val="007C748F"/>
    <w:rsid w:val="00920554"/>
    <w:rsid w:val="009D58F9"/>
    <w:rsid w:val="009E42D4"/>
    <w:rsid w:val="00C00172"/>
    <w:rsid w:val="00D56D4B"/>
    <w:rsid w:val="00ED487F"/>
    <w:rsid w:val="00EF167C"/>
    <w:rsid w:val="00FC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82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1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-cds.unibo.it/mod/book/view.php?id=24821&amp;chapterid=11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8388</Characters>
  <Application>Microsoft Office Word</Application>
  <DocSecurity>0</DocSecurity>
  <Lines>69</Lines>
  <Paragraphs>19</Paragraphs>
  <ScaleCrop>false</ScaleCrop>
  <Company>Hewlett-Packard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2019-05-09T17:14:00Z</dcterms:created>
  <dcterms:modified xsi:type="dcterms:W3CDTF">2019-05-09T17:15:00Z</dcterms:modified>
</cp:coreProperties>
</file>